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21:17 МСК · База обновлена: 22.08.2026, 20:18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Ребенок М. 5 лет, проживающий в семье из 5 человек на 1 этаже многоэтажного дома, заболел корью 28.11., течение болезни тяжелое, госпитализирован. Ребенок не вакцинирован из-за медотвода (врожденный порок сердца в стадии ремиссии), детский сад не посещает. В семье еще 2 детей: ребенок в возрасте 8 месяцев и ребенок 7 лет-школьник, привитый от кори в соответствии с календарем прививок. Мама детей, преподаватель ВУЗа, переболела корью (имеется документальное подтверждение). Отец детей корью не болел и прививок от кори не имеет.</w:t>
      </w:r>
    </w:p>
    <w:p>
      <w:pPr>
        <w:spacing w:after="58"/>
      </w:pPr>
      <w:r>
        <w:rPr>
          <w:b w:val="0"/>
          <w:i w:val="0"/>
        </w:rPr>
        <w:t>При проведении эпидрасследования выявлено, что 07.11 зарегистрирована корь у ребенка Р., проживающего в этом же подъезде дома на втором этаже. При этом никакие противоэпидемические мероприятия не проводились.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источником кори для больного М.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ребенок Р.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брат 7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отец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ребенка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ребенок Р.</w:t>
      </w:r>
    </w:p>
    <w:p>
      <w:pPr>
        <w:spacing w:after="58"/>
      </w:pPr>
      <w:r>
        <w:rPr>
          <w:b w:val="0"/>
          <w:i w:val="0"/>
        </w:rPr>
        <w:t>«Резервуар и источник инфекции. Корь — типичная антропонозная инфекция. Источником возбудителя инфекции может быть больной корью человек, который выделяет вирус в последние 1–2 дня инкубационного периода и первые 4 дня периода кожных высыпаний. Больные корью являются источниками возбудителя независимо от клинической формы заболевания».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домом,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квартирой, где проживает ребенок М.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подъездом дома,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этажом подъезда, где проживает ребенок М. 5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подъездом дома, где проживают заболевшие дети</w:t>
      </w:r>
    </w:p>
    <w:p>
      <w:pPr>
        <w:spacing w:after="58"/>
      </w:pPr>
      <w:r>
        <w:rPr>
          <w:b w:val="0"/>
          <w:i w:val="0"/>
        </w:rPr>
        <w:t>«Границами очага кори следует считать весь организованный коллектив (детское дошкольное учреждение, школа, ПТУ, вуз (курс, факультет)), общежитие, квартира и подъезд, где проживает больной. Если случай кори зарегистрирован в сельской местности или в небольшом населенном пункте, очагом следует считать весь населенный пункт».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особенностям возбудителя кори, определяющим границы очага,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возбудителя к дезинфицирующим средствам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высокую контагиозность и способность распространяться с потоком воздуха на значительные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возбудителя во внешней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способность возбудителя к сохранению на объектах окружающей среды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чрезвычайно высокую контагиозность и способность распространяться с потоком воздуха на значительные расстояния</w:t>
      </w:r>
    </w:p>
    <w:p>
      <w:pPr>
        <w:spacing w:after="58"/>
      </w:pPr>
      <w:r>
        <w:rPr>
          <w:b w:val="0"/>
          <w:i w:val="0"/>
        </w:rPr>
        <w:t>«Пути и факторы передачи. Вирус распространяется от человека к человеку главным образом с помощью мельчайших капелек аэрозоля отделяемого слизистых оболочек верхних дыхательных путей при разговоре, кашле, чихании (воздушно-капельный путь), но может также распространяться с ядрышками высохших капелек слизи (воздушно-пылевой путь). Благодаря высокой дисперсности слизистого аэрозоля и малой скорости его оседания, вирус кори может распространяться с потоком воздуха на значительные расстояния».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больного М.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IgM-класса методом иммуноферментного анализа (ИФА)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секрета 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выделения РНК вируса кори молекулярно-биологическим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лихорадки и пятнисто-папулезной сыпи у больного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выявления в сыворотке крови специфических антител IgM-класса методом иммуноферментного анализа (ИФА)</w:t>
      </w:r>
    </w:p>
    <w:p>
      <w:pPr>
        <w:spacing w:after="58"/>
      </w:pPr>
      <w:r>
        <w:rPr>
          <w:b w:val="0"/>
          <w:i w:val="0"/>
        </w:rPr>
        <w:t>Выявление в сыворотке крови больного (лиц с подозрением на заболевание) специфических антител, относящихся к иммуноглобулинам класса М (далее - IgM) методом иммуноферментного анализа (далее - ИФА) является основанием для установления (подтверждения) диагноза "корь", "краснуха".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Больной М.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 соматического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госпитализации в бокс соматического педиатрического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госпитализации в инфекционный стационар</w:t>
      </w:r>
    </w:p>
    <w:p>
      <w:pPr>
        <w:spacing w:after="58"/>
      </w:pPr>
      <w:r>
        <w:rPr>
          <w:b w:val="0"/>
          <w:i w:val="0"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</w:r>
    </w:p>
    <w:p>
      <w:pPr>
        <w:spacing w:after="58"/>
      </w:pPr>
      <w:r>
        <w:rPr>
          <w:b w:val="0"/>
          <w:i w:val="0"/>
        </w:rPr>
        <w:t>* тяжелого клинического течения заболевания;</w:t>
      </w:r>
    </w:p>
    <w:p>
      <w:pPr>
        <w:spacing w:after="58"/>
      </w:pPr>
      <w:r>
        <w:rPr>
          <w:b w:val="0"/>
          <w:i w:val="0"/>
        </w:rPr>
        <w:t>* независимо от формы течения заболевания - лица из организаций с круглосуточным пребыванием детей или взрослых; лица, проживающие в общежитиях и в неблагоприятных бытовых условиях (в том числе коммунальных квартирах); при наличии в семье заболевшего лиц из числа декретированных групп населения.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Решение о госпитализации больного М. обосновано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присутствием в семье еще двоих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тяжестью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возникновением второго случая кори в подъезде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возможным дальнейшим распространением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тяжестью клинического течения</w:t>
      </w:r>
    </w:p>
    <w:p>
      <w:pPr>
        <w:spacing w:after="58"/>
      </w:pPr>
      <w:r>
        <w:rPr>
          <w:b w:val="0"/>
          <w:i w:val="0"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</w:r>
    </w:p>
    <w:p>
      <w:pPr>
        <w:spacing w:after="58"/>
      </w:pPr>
      <w:r>
        <w:rPr>
          <w:b w:val="0"/>
          <w:i w:val="0"/>
        </w:rPr>
        <w:t>* тяжелого клинического течения заболевания;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всеми проживающими в квартире, кроме матери и отца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всеми, кто был в контакте с больным 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 ребенком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 всеми, кто был в контакте с больным М.</w:t>
      </w:r>
    </w:p>
    <w:p>
      <w:pPr>
        <w:spacing w:after="58"/>
      </w:pPr>
      <w:r>
        <w:rPr>
          <w:b w:val="0"/>
          <w:i w:val="0"/>
        </w:rPr>
        <w:t>За лицами, общавшимися с больными корью, краснухой или эпидемическим паротитом устанавливается медицинское наблюдение в течение 21 дня с момента выявления последнего случая заболевания в очаге.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Дезинфекционные мероприятия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ограничиваются проведением текущей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санитарно-эпидемиологическими правилами не регламентированы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санитарно-эпидемиологическими правилами не регламентированы</w:t>
      </w:r>
    </w:p>
    <w:p>
      <w:pPr>
        <w:spacing w:after="58"/>
      </w:pPr>
      <w:r>
        <w:rPr>
          <w:b w:val="0"/>
          <w:i w:val="0"/>
        </w:rPr>
        <w:t>В инфекционных очагах и в медицинских организациях проводится влажная уборка с использованием моюще-дезинфицирующих средств, разрешенных для применения, по режиму, рекомендованному при вирусных инфекциях, с последующим проветриванием помещения.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против кори подлежат не болевшие ранее, не привитые, не имеющие сведений о прививках, привитые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дети до 1 года не позднее 72 часов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дети до 1 года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 жители подъезда, без ограничения возраста, не позднее 72 часов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взрослые жители подъезда, без ограничения возраста, не позднее 5 дней с момента выявления больного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все жители подъезда, без ограничения возраста, не позднее 72 часов с момента выявления больного</w:t>
      </w:r>
    </w:p>
    <w:p>
      <w:pPr>
        <w:spacing w:after="58"/>
      </w:pPr>
      <w:r>
        <w:rPr>
          <w:b w:val="0"/>
          <w:i w:val="0"/>
        </w:rPr>
        <w:t>Иммунизации против кори по эпидемическим показаниям подлежат лица, имевшие контакт с больным (при подозрении на заболевание), не болевшие корью ранее, не привитые, не имеющие сведений о прививках против кори, а также лица, привитые против кори однократно - без ограничения возраста.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 членов семьи иммуноглобулин человека нормальный должен быть введен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членам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ребенку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ребенку 8 месяцев</w:t>
      </w:r>
    </w:p>
    <w:p>
      <w:pPr>
        <w:spacing w:after="58"/>
      </w:pPr>
      <w:r>
        <w:rPr>
          <w:b w:val="0"/>
          <w:i w:val="0"/>
        </w:rPr>
        <w:t>Детям, не привитым против кори или эпидемического паротита (не достигшим прививочного возраста или не получившим прививки в связи с медицинскими противопоказаниями или отказом от прививок) не позднее 5-го дня с момента контакта с больным вводится иммуноглобулин человека нормальный (далее - иммуноглобулин) в соответствии с инструкцией по его применению.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Врач-педиатр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</w:t>
      </w:r>
    </w:p>
    <w:p>
      <w:pPr>
        <w:spacing w:after="58"/>
      </w:pPr>
      <w:r>
        <w:rPr>
          <w:b w:val="0"/>
          <w:i w:val="0"/>
        </w:rPr>
        <w:t>В случае выявления больного корью, краснухой или эпидемическим паротитом или лиц с подозрением на эти заболевания, медицинские работники организаций и частнопрактикующие медицинские работники обязаны в течение 2 часов сообщить об этом по телефону и в течение 12 часов направить экстренное извещение установленной формы (N 058/у) в орган, осуществляющий государственный санитарно-эпидемиологический надзор на территории, где выявлен случай заболевания.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Отличительной особенностью регистрации случаев кори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оформление внеочередного донесения (форма №059/у)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оформление экстренного извещения (форма N 058/у)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в электронной централизованной информационной системе инфекционных заболеваний (ЦИСИЗ)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регистрация и учет в «Журнале учета инфекционных заболеваний» (форма N 060/у)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регистрация в электронной централизованной информационной системе инфекционных заболеваний (ЦИСИЗ)</w:t>
      </w:r>
    </w:p>
    <w:p>
      <w:pPr>
        <w:spacing w:after="58"/>
      </w:pPr>
      <w:r>
        <w:rPr>
          <w:b w:val="0"/>
          <w:i w:val="0"/>
        </w:rPr>
        <w:t>Случаи кори и краснухи подлежат регистрации в электронной централизованной информационной системе инфекционных заболеваний (далее - ЦИСИЗ). Ввод данных в систему ЦИСИЗ осуществляют ответственные специалисты РЦ. Контроль за введением данных осуществляет ННМЦ.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Врач-терапевт участковый 29 декабря при повторном вызове к больной Ивановой И.И. 30 лет, которой он три дня тому назад (27 декабря) поставил диагноз «ОРВИ», обнаружил увеличение и болезненность печени при пальпации, иктеричность склер и слизистой оболочки полости рта. Больная жаловалась на слабость, тошноту, рвоту и потемнение мочи. Температура до 39°С На основании клинического осмотра, жалоб больной и данных эпидемиологического анамнеза врач поставил диагноз «гепатит А» (ГА).</w:t>
      </w:r>
    </w:p>
    <w:p>
      <w:pPr>
        <w:spacing w:after="58"/>
      </w:pPr>
      <w:r>
        <w:rPr>
          <w:b w:val="0"/>
          <w:i w:val="0"/>
        </w:rPr>
        <w:t>Работает больная помощником воспитателя в средней группе детского сада. Детский сад рассчитан на 4 группы. Принцип групповой изоляции в детском саду соблюдается. В средней группе детского сада, где работает больная, 20 ноября и 10 декабря были зарегистрированы 2 случая гепатита А Известно, что у обоих детей клинические признаки гепатита А были обнаружены утром, но из группы они были выведены только после обеда. В 3 других группах детского сада случаев заболевания гепатита А не установлено. Последний раз на работе в детском саду больная была 26 декабря.</w:t>
      </w:r>
    </w:p>
    <w:p>
      <w:pPr>
        <w:spacing w:after="58"/>
      </w:pPr>
      <w:r>
        <w:rPr>
          <w:b w:val="0"/>
          <w:i w:val="0"/>
        </w:rPr>
        <w:t>Проживает в благоустроенной двухкомнатной квартире с мужем – рабочим телефонного завода (гепатитом А не болел, в настоящее время здоров), ребенком 4 лет, не посещающим детский сад, ребенком 10 лет, посещающим школу гепатита А (дети не болели, в настоящее время здоровы, против гепатита А не привиты) и матерью (гепатитом А болела).</w:t>
      </w:r>
    </w:p>
    <w:p>
      <w:pPr>
        <w:pStyle w:val="Heading2"/>
      </w:pPr>
      <w:r>
        <w:t>1. Определение потенциальной общественной опасности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вероятными источниками инфекции для заболевшей гепатитом 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дети, заболевшие гепатитом А в средней группе детского сада, где работает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сотрудники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ребёнок 4 лет или ребенок 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или муж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дети, заболевшие гепатитом А в средней группе детского сада, где работает больная</w:t>
      </w:r>
    </w:p>
    <w:p>
      <w:pPr>
        <w:spacing w:after="58"/>
      </w:pPr>
      <w:r>
        <w:rPr>
          <w:b w:val="0"/>
          <w:i w:val="0"/>
        </w:rPr>
        <w:t>п. 2341. Источником инфекции при гепатите A является только человек (антропонозная инфекция). При гепатите A выделяют три основные категории источников инфекции: больные с желтушной,безжелтушной (стертой) формами инфекции, а также лица с бессимптомным течением инфекции.Длительность инкубационного периода составляет 7 - 35 календарных дней, в редких случаях достигая 50 календарных дней.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квартирой,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этажом подъезда,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квартирой по месту жительства больной и средней группой детского сада по месту работы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всем домом, где проживает больная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квартирой по месту жительства больной и средней группой детского сада по месту работы больной</w:t>
      </w:r>
    </w:p>
    <w:p>
      <w:pPr>
        <w:spacing w:after="58"/>
      </w:pPr>
      <w:r>
        <w:rPr>
          <w:b w:val="0"/>
          <w:i w:val="0"/>
        </w:rPr>
        <w:t>п. 2391. В эпидемическом очаге вирусного гепатита A или E выявляются лица, имевшие контакт с больным или подвергшиеся риску заражения, и организуется их учет, обследование и наблюдение.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вероятно больная заразилась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контактно-бытовым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воздушно-капельным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контактно-бытовым</w:t>
      </w:r>
    </w:p>
    <w:p>
      <w:pPr>
        <w:spacing w:after="58"/>
      </w:pPr>
      <w:r>
        <w:rPr>
          <w:b w:val="0"/>
          <w:i w:val="0"/>
        </w:rPr>
        <w:t>п. 2345. Основным механизмом передачи возбудителей вирусных гепатитов A и E является фекально-оральный, который реализуется водным, пищевым или контактно-бытовым путями</w:t>
        <w:br/>
        <w:t>В средней группе детского сада, где работает больная, 20 ноября и 10 декабря были зарегистрированы 2 случая гепатита А, что говорит о последовательности заражений, что характерно для контактно-бытового пути заражения.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больной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биохимического исследования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фекалий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 методом иммуноферментного анализа (anti-HAV IgM) или РНК ВГА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желтухи с явлениями выраженной интоксикации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выявления в сыворотке крови специфических антител IgM методом иммуноферментного анализа (anti-HAV IgM) или РНК ВГА</w:t>
      </w:r>
    </w:p>
    <w:p>
      <w:pPr>
        <w:spacing w:after="58"/>
      </w:pPr>
      <w:r>
        <w:rPr>
          <w:b w:val="0"/>
          <w:i w:val="0"/>
        </w:rPr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Больная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госпитализации в бокс соматического терапевтического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госпитализации в инфекционный стационар</w:t>
      </w:r>
    </w:p>
    <w:p>
      <w:pPr>
        <w:spacing w:after="58"/>
      </w:pPr>
      <w:r>
        <w:rPr>
          <w:b w:val="0"/>
          <w:i w:val="0"/>
        </w:rPr>
        <w:t>п. 2375. Больные и подозрительные на заболевание вирусными гепатитами A или E подлежат госпитализации в инфекционное отделение.</w:t>
      </w:r>
    </w:p>
    <w:p>
      <w:pPr>
        <w:spacing w:after="58"/>
      </w:pPr>
      <w:r>
        <w:rPr>
          <w:b w:val="0"/>
          <w:i w:val="0"/>
        </w:rPr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Больная нуждается в госпитализации по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эпидемическим (наличие в очаге лица из группы декретированных контингентов)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клиническим в связи с непривитостью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 в связи с тяжестью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эпидемическим (больная относится к декретированным контингентам)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клиническим в связи с тяжестью заболевания</w:t>
      </w:r>
    </w:p>
    <w:p>
      <w:pPr>
        <w:spacing w:after="58"/>
      </w:pPr>
      <w:r>
        <w:rPr>
          <w:b w:val="0"/>
          <w:i w:val="0"/>
        </w:rPr>
        <w:t>п. 2375. Больные и подозрительные на заболевание вирусными гепатитами A или E подлежат госпитализации в инфекционное отделение.</w:t>
      </w:r>
    </w:p>
    <w:p>
      <w:pPr>
        <w:spacing w:after="58"/>
      </w:pPr>
      <w:r>
        <w:rPr>
          <w:b w:val="0"/>
          <w:i w:val="0"/>
        </w:rPr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за сотрудниками пищеблока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всеми детьми, посещающими детский сад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spacing w:after="58"/>
      </w:pPr>
      <w:r>
        <w:rPr>
          <w:b w:val="0"/>
          <w:i w:val="0"/>
        </w:rPr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</w:r>
    </w:p>
    <w:p>
      <w:pPr>
        <w:spacing w:after="58"/>
      </w:pPr>
      <w:r>
        <w:rPr>
          <w:b w:val="0"/>
          <w:i w:val="0"/>
        </w:rPr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</w:r>
    </w:p>
    <w:p>
      <w:pPr>
        <w:spacing w:after="58"/>
      </w:pPr>
      <w:r>
        <w:rPr>
          <w:b w:val="0"/>
          <w:i w:val="0"/>
        </w:rPr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после госпитализации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до выздоровления больной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заключительная после госпитализации больной</w:t>
      </w:r>
    </w:p>
    <w:p>
      <w:pPr>
        <w:spacing w:after="58"/>
      </w:pPr>
      <w:r>
        <w:rPr>
          <w:b w:val="0"/>
          <w:i w:val="0"/>
        </w:rPr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Иммунопрофилактика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жители подъезда, без ограничения возраста не позднее 5 дней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контактировавшие с больной в семье и по месту работы без ограничения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дети до 10 лет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дети до 10 лет не позднее 72 часов с момента контакта с больным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контактировавшие с больной в семье и по месту работы без ограничения возраста</w:t>
      </w:r>
    </w:p>
    <w:p>
      <w:pPr>
        <w:spacing w:after="58"/>
      </w:pPr>
      <w:r>
        <w:rPr>
          <w:b w:val="0"/>
          <w:i w:val="0"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Иммуноглобулин человека нормальный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следует назначить 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назначить всем взрослым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применять не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назначить матери, так как она болела гепатитом А ранее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применять не следует</w:t>
      </w:r>
    </w:p>
    <w:p>
      <w:pPr>
        <w:spacing w:after="58"/>
      </w:pPr>
      <w:r>
        <w:rPr>
          <w:b w:val="0"/>
          <w:i w:val="0"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</w:r>
    </w:p>
    <w:p>
      <w:pPr>
        <w:spacing w:after="58"/>
      </w:pPr>
      <w:r>
        <w:rPr>
          <w:b w:val="0"/>
          <w:i w:val="0"/>
        </w:rPr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 Применение иммуноглобулина не предусмотрено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XXXI Профилактика вирусного гепатита А и Е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Врач-терапевт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3 - 12</w:t>
      </w:r>
    </w:p>
    <w:p>
      <w:pPr>
        <w:spacing w:after="58"/>
      </w:pPr>
      <w:r>
        <w:rPr>
          <w:b w:val="0"/>
          <w:i w:val="0"/>
        </w:rPr>
        <w:t>п. 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</w:r>
    </w:p>
    <w:p>
      <w:pPr>
        <w:spacing w:after="58"/>
      </w:pPr>
      <w:r>
        <w:rPr>
          <w:b w:val="0"/>
          <w:i w:val="0"/>
        </w:rPr>
        <w:t>п. 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исследования.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Выявление, учет и регистрация больных инфекционными болезнями и лиц с подозрением на инфекционные болезни,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случаев гепатита 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электронном регистре случаев заболеваний гепатитами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базе данных Европейского бюро ВОЗ «Здоровье для всех»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учета инфекционных заболеваний» (форма N 060/у)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электронной Единой международной системе индивидуального учета (CISID)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журнале учета инфекционных заболеваний» (форма N 060/у)</w:t>
      </w:r>
    </w:p>
    <w:p>
      <w:pPr>
        <w:spacing w:after="58"/>
      </w:pPr>
      <w:r>
        <w:rPr>
          <w:b w:val="0"/>
          <w:i w:val="0"/>
        </w:rPr>
        <w:t>п. 2359. Сведения о регистрации случаев заболевания вирусными гепатитами A и E на основании окончательных диагнозов вносятся в соответствующие формы федерального государственного статистического наблюдения</w:t>
      </w:r>
    </w:p>
    <w:p>
      <w:pPr>
        <w:spacing w:after="58"/>
      </w:pPr>
      <w:r>
        <w:rPr>
          <w:b w:val="0"/>
          <w:i w:val="0"/>
        </w:rPr>
        <w:t>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</w:p>
    <w:p>
      <w:pPr>
        <w:spacing w:after="58"/>
      </w:pPr>
      <w:r>
        <w:rPr>
          <w:b w:val="0"/>
          <w:i w:val="0"/>
        </w:rPr>
        <w:t>Выявление, учет и регистрация больных инфекционными болезнями и лиц с подозрением на инфекционные болезни,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5i1jbn#paragraph_5i1jbn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d2dsrl#paragraph_d2dsrl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tom1/?anchor=paragraph_ihlirg#paragraph_ihlirg" TargetMode="External"/><Relationship Id="rId25" Type="http://schemas.openxmlformats.org/officeDocument/2006/relationships/hyperlink" Target="https://library.mededtech.ru/rest/documents/sanpin3686_25/" TargetMode="External"/><Relationship Id="rId26" Type="http://schemas.openxmlformats.org/officeDocument/2006/relationships/hyperlink" Target="https://library.mededtech.ru/rest/documents/sanpin3686_25/#paragraph_33i3ca" TargetMode="External"/><Relationship Id="rId27" Type="http://schemas.openxmlformats.org/officeDocument/2006/relationships/hyperlink" Target="https://library.mededtech.ru/rest/documents/sanpin3686_25/#paragraph_pavpsq" TargetMode="External"/><Relationship Id="rId28" Type="http://schemas.openxmlformats.org/officeDocument/2006/relationships/hyperlink" Target="https://library.mededtech.ru/rest/documents/sanpin3686_25/#list_item_4q77cb" TargetMode="External"/><Relationship Id="rId29" Type="http://schemas.openxmlformats.org/officeDocument/2006/relationships/hyperlink" Target="https://library.mededtech.ru/rest/documents/sanpin3686_25/#paragraph_h08isp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sanpin3686_25/#paragraph_397u8q" TargetMode="External"/><Relationship Id="rId32" Type="http://schemas.openxmlformats.org/officeDocument/2006/relationships/hyperlink" Target="https://library.mededtech.ru/rest/documents/sanpin3686_25/#paragraph_6hpb47" TargetMode="External"/><Relationship Id="rId33" Type="http://schemas.openxmlformats.org/officeDocument/2006/relationships/hyperlink" Target="https://library.mededtech.ru/rest/documents/sanpin3686_25/#paragraph_djftqi" TargetMode="External"/><Relationship Id="rId34" Type="http://schemas.openxmlformats.org/officeDocument/2006/relationships/hyperlink" Target="https://library.mededtech.ru/rest/documents/sanpin3686_25/#paragraph_6c38us" TargetMode="External"/><Relationship Id="rId35" Type="http://schemas.openxmlformats.org/officeDocument/2006/relationships/hyperlink" Target="https://library.mededtech.ru/rest/documents/sanpin3686_25/#paragraph_pl6660" TargetMode="External"/><Relationship Id="rId36" Type="http://schemas.openxmlformats.org/officeDocument/2006/relationships/hyperlink" Target="https://library.mededtech.ru/rest/documents/sanpin3686_21/" TargetMode="External"/><Relationship Id="rId37" Type="http://schemas.openxmlformats.org/officeDocument/2006/relationships/hyperlink" Target="https://library.mededtech.ru/rest/documents/sanpin3686_21/#paragraph_ithtl7" TargetMode="External"/><Relationship Id="rId38" Type="http://schemas.openxmlformats.org/officeDocument/2006/relationships/hyperlink" Target="https://library.mededtech.ru/rest/documents/sanpin3686_21/#paragraph_cbla9o" TargetMode="External"/><Relationship Id="rId39" Type="http://schemas.openxmlformats.org/officeDocument/2006/relationships/hyperlink" Target="https://library.mededtech.ru/rest/documents/sanpin3686_21/#paragraph_l84t30" TargetMode="External"/><Relationship Id="rId40" Type="http://schemas.openxmlformats.org/officeDocument/2006/relationships/hyperlink" Target="https://library.mededtech.ru/rest/documents/sanpin3686_21/#paragraph_qnkvpb" TargetMode="External"/><Relationship Id="rId41" Type="http://schemas.openxmlformats.org/officeDocument/2006/relationships/hyperlink" Target="https://library.mededtech.ru/rest/documents/sanpin3686_21/#paragraph_mll7bf" TargetMode="External"/><Relationship Id="rId42" Type="http://schemas.openxmlformats.org/officeDocument/2006/relationships/hyperlink" Target="https://library.mededtech.ru/rest/documents/sanpin3686_21/#paragraph_gfc826" TargetMode="External"/><Relationship Id="rId43" Type="http://schemas.openxmlformats.org/officeDocument/2006/relationships/hyperlink" Target="https://library.mededtech.ru/rest/documents/sanpin3686_21/#paragraph_v8gmk8" TargetMode="External"/><Relationship Id="rId44" Type="http://schemas.openxmlformats.org/officeDocument/2006/relationships/hyperlink" Target="https://library.mededtech.ru/rest/documents/sanpin3686_21/#paragraph_ta5qkb" TargetMode="External"/><Relationship Id="rId45" Type="http://schemas.openxmlformats.org/officeDocument/2006/relationships/hyperlink" Target="https://library.mededtech.ru/rest/documents/sanpin3686_21/#paragraph_h5orv8" TargetMode="External"/><Relationship Id="rId46" Type="http://schemas.openxmlformats.org/officeDocument/2006/relationships/hyperlink" Target="https://library.mededtech.ru/rest/documents/sanpin3686_21/#paragraph_hcjrcm" TargetMode="External"/><Relationship Id="rId47" Type="http://schemas.openxmlformats.org/officeDocument/2006/relationships/hyperlink" Target="https://library.mededtech.ru/rest/documents/sanpin3686_21/#paragraph_i1so3v" TargetMode="External"/><Relationship Id="rId48" Type="http://schemas.openxmlformats.org/officeDocument/2006/relationships/hyperlink" Target="https://library.mededtech.ru/rest/documents/sanpin3686_21/#paragraph_5suh6a" TargetMode="External"/><Relationship Id="rId49" Type="http://schemas.openxmlformats.org/officeDocument/2006/relationships/hyperlink" Target="https://library.mededtech.ru/rest/documents/sanpin3686_21/#paragraph_b5i5t6" TargetMode="External"/><Relationship Id="rId50" Type="http://schemas.openxmlformats.org/officeDocument/2006/relationships/hyperlink" Target="https://library.mededtech.ru/rest/documents/sanpin3686_21/#paragraph_33eg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